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80DD" w14:textId="77777777" w:rsidR="00B11447" w:rsidRPr="00700517" w:rsidRDefault="00B11447" w:rsidP="00B11447">
      <w:pPr>
        <w:pBdr>
          <w:bottom w:val="single" w:sz="18" w:space="1" w:color="auto"/>
        </w:pBdr>
        <w:spacing w:after="0"/>
      </w:pPr>
      <w:r w:rsidRPr="00700517">
        <w:t>Potential Dual Use Research of Concern (DURC):</w:t>
      </w:r>
    </w:p>
    <w:p w14:paraId="43EC8D67" w14:textId="77777777" w:rsidR="00B11447" w:rsidRPr="00700517" w:rsidRDefault="00AD5A08" w:rsidP="00B11447">
      <w:pPr>
        <w:pBdr>
          <w:bottom w:val="single" w:sz="18" w:space="1" w:color="auto"/>
        </w:pBdr>
        <w:spacing w:after="0"/>
        <w:rPr>
          <w:i/>
        </w:rPr>
      </w:pPr>
      <w:r w:rsidRPr="00700517">
        <w:rPr>
          <w:i/>
        </w:rPr>
        <w:t>Institutional Review Entity</w:t>
      </w:r>
      <w:r w:rsidR="006E3705" w:rsidRPr="00700517">
        <w:rPr>
          <w:i/>
        </w:rPr>
        <w:t>(IRE)</w:t>
      </w:r>
      <w:r w:rsidR="006C693E" w:rsidRPr="00700517">
        <w:rPr>
          <w:i/>
        </w:rPr>
        <w:t>/Institutional Biosafety Supplemental</w:t>
      </w:r>
      <w:r w:rsidRPr="00700517">
        <w:rPr>
          <w:i/>
        </w:rPr>
        <w:t xml:space="preserve"> </w:t>
      </w:r>
      <w:r w:rsidR="00B11447" w:rsidRPr="00700517">
        <w:rPr>
          <w:i/>
        </w:rPr>
        <w:t>Review</w:t>
      </w:r>
    </w:p>
    <w:p w14:paraId="64F990A4" w14:textId="001E58A8" w:rsidR="0024287F" w:rsidRPr="00700517" w:rsidRDefault="0024287F" w:rsidP="0024287F">
      <w:r>
        <w:t xml:space="preserve">Instructions:  Review and complete the following form.  Questions and completed forms should be directed to: </w:t>
      </w:r>
      <w:r w:rsidR="00841C20">
        <w:rPr>
          <w:b/>
          <w:bCs/>
        </w:rPr>
        <w:t>Andrew Young</w:t>
      </w:r>
      <w:r>
        <w:rPr>
          <w:b/>
          <w:bCs/>
        </w:rPr>
        <w:t xml:space="preserve">, </w:t>
      </w:r>
      <w:r w:rsidR="00841C20">
        <w:t xml:space="preserve">Biosafety Officer | </w:t>
      </w:r>
      <w:r w:rsidRPr="0024287F">
        <w:t>Phone: (216) 368-5864</w:t>
      </w:r>
      <w:r w:rsidR="00841C20">
        <w:t xml:space="preserve"> | </w:t>
      </w:r>
      <w:r w:rsidRPr="0024287F">
        <w:t xml:space="preserve">Email: </w:t>
      </w:r>
      <w:hyperlink r:id="rId7" w:history="1">
        <w:r w:rsidR="00841C20" w:rsidRPr="00841C20">
          <w:rPr>
            <w:rStyle w:val="Hyperlink"/>
          </w:rPr>
          <w:t>andrew.young@case.edu</w:t>
        </w:r>
      </w:hyperlink>
    </w:p>
    <w:tbl>
      <w:tblPr>
        <w:tblStyle w:val="TableGrid"/>
        <w:tblpPr w:leftFromText="180" w:rightFromText="180" w:vertAnchor="text" w:horzAnchor="page" w:tblpX="4254" w:tblpY="274"/>
        <w:tblW w:w="0" w:type="auto"/>
        <w:tblLook w:val="04A0" w:firstRow="1" w:lastRow="0" w:firstColumn="1" w:lastColumn="0" w:noHBand="0" w:noVBand="1"/>
      </w:tblPr>
      <w:tblGrid>
        <w:gridCol w:w="5604"/>
      </w:tblGrid>
      <w:tr w:rsidR="0024287F" w:rsidRPr="00700517" w14:paraId="2A727DD2" w14:textId="77777777" w:rsidTr="0024287F">
        <w:trPr>
          <w:trHeight w:val="720"/>
        </w:trPr>
        <w:tc>
          <w:tcPr>
            <w:tcW w:w="5604" w:type="dxa"/>
            <w:tcBorders>
              <w:top w:val="nil"/>
              <w:left w:val="nil"/>
              <w:bottom w:val="single" w:sz="4" w:space="0" w:color="auto"/>
              <w:right w:val="nil"/>
            </w:tcBorders>
          </w:tcPr>
          <w:p w14:paraId="552ED6D1" w14:textId="77777777" w:rsidR="0024287F" w:rsidRPr="00700517" w:rsidRDefault="0024287F" w:rsidP="00153700">
            <w:pPr>
              <w:jc w:val="right"/>
            </w:pPr>
          </w:p>
          <w:p w14:paraId="00F3F7B5" w14:textId="77777777" w:rsidR="0024287F" w:rsidRPr="00700517" w:rsidRDefault="0024287F" w:rsidP="00153700">
            <w:pPr>
              <w:jc w:val="right"/>
            </w:pPr>
          </w:p>
        </w:tc>
      </w:tr>
    </w:tbl>
    <w:p w14:paraId="0551BB6F" w14:textId="77777777" w:rsidR="00B11447" w:rsidRPr="00700517" w:rsidRDefault="00B11447" w:rsidP="00B11447">
      <w:pPr>
        <w:jc w:val="center"/>
      </w:pPr>
    </w:p>
    <w:p w14:paraId="2B903DA5" w14:textId="77777777" w:rsidR="006E3705" w:rsidRPr="00700517" w:rsidRDefault="006E3705" w:rsidP="007830A4">
      <w:pPr>
        <w:spacing w:after="0" w:line="240" w:lineRule="auto"/>
      </w:pPr>
      <w:r w:rsidRPr="00700517">
        <w:t xml:space="preserve">Name of </w:t>
      </w:r>
    </w:p>
    <w:p w14:paraId="5799BA7E" w14:textId="77777777" w:rsidR="00B11447" w:rsidRPr="00700517" w:rsidRDefault="00B11447" w:rsidP="007830A4">
      <w:pPr>
        <w:spacing w:after="0" w:line="240" w:lineRule="auto"/>
      </w:pPr>
      <w:r w:rsidRPr="00700517">
        <w:t>Principal Investigator:</w:t>
      </w:r>
    </w:p>
    <w:p w14:paraId="3F946A46" w14:textId="77777777" w:rsidR="002528DF" w:rsidRDefault="002528DF"/>
    <w:p w14:paraId="3BBDD034" w14:textId="77777777" w:rsidR="00B11447" w:rsidRPr="00700517" w:rsidRDefault="00B11447" w:rsidP="00095166">
      <w:pPr>
        <w:spacing w:after="0" w:line="240" w:lineRule="auto"/>
      </w:pPr>
      <w:r w:rsidRPr="00700517">
        <w:t>Please mark</w:t>
      </w:r>
      <w:r w:rsidR="00700517">
        <w:t xml:space="preserve"> </w:t>
      </w:r>
      <w:r w:rsidR="00700517" w:rsidRPr="0024287F">
        <w:rPr>
          <w:b/>
        </w:rPr>
        <w:t>(X)</w:t>
      </w:r>
      <w:r w:rsidRPr="00700517">
        <w:t xml:space="preserve"> all of the following agents or toxins used in your research project</w:t>
      </w:r>
      <w:r w:rsidR="00E62BE0" w:rsidRPr="00700517">
        <w:t>(</w:t>
      </w:r>
      <w:r w:rsidRPr="00700517">
        <w:t>s</w:t>
      </w:r>
      <w:r w:rsidR="00E62BE0" w:rsidRPr="00700517">
        <w:t>)</w:t>
      </w:r>
      <w:r w:rsidRPr="00700517">
        <w:t>:</w:t>
      </w:r>
      <w:r w:rsidRPr="00700517">
        <w:br/>
      </w:r>
    </w:p>
    <w:tbl>
      <w:tblPr>
        <w:tblStyle w:val="TableGrid"/>
        <w:tblpPr w:leftFromText="180" w:rightFromText="180" w:vertAnchor="text" w:horzAnchor="margin" w:tblpY="17"/>
        <w:tblW w:w="0" w:type="auto"/>
        <w:tblLook w:val="0680" w:firstRow="0" w:lastRow="0" w:firstColumn="1" w:lastColumn="0" w:noHBand="1" w:noVBand="1"/>
      </w:tblPr>
      <w:tblGrid>
        <w:gridCol w:w="355"/>
        <w:gridCol w:w="4319"/>
        <w:gridCol w:w="361"/>
        <w:gridCol w:w="4315"/>
      </w:tblGrid>
      <w:tr w:rsidR="00816ABA" w:rsidRPr="00700517" w14:paraId="113D2635" w14:textId="77777777" w:rsidTr="00816ABA">
        <w:trPr>
          <w:trHeight w:val="576"/>
        </w:trPr>
        <w:tc>
          <w:tcPr>
            <w:tcW w:w="355" w:type="dxa"/>
            <w:vAlign w:val="center"/>
          </w:tcPr>
          <w:p w14:paraId="7BE92D62" w14:textId="77777777" w:rsidR="00816ABA" w:rsidRPr="00700517" w:rsidRDefault="00816ABA" w:rsidP="00816ABA"/>
        </w:tc>
        <w:tc>
          <w:tcPr>
            <w:tcW w:w="4319" w:type="dxa"/>
            <w:vAlign w:val="center"/>
          </w:tcPr>
          <w:p w14:paraId="3B7F0848" w14:textId="77777777" w:rsidR="00816ABA" w:rsidRPr="00700517" w:rsidRDefault="00816ABA" w:rsidP="00816ABA">
            <w:r w:rsidRPr="00700517">
              <w:t>Avian influenza virus (highly pathogenic)</w:t>
            </w:r>
          </w:p>
        </w:tc>
        <w:tc>
          <w:tcPr>
            <w:tcW w:w="361" w:type="dxa"/>
            <w:vAlign w:val="center"/>
          </w:tcPr>
          <w:p w14:paraId="136D796B" w14:textId="77777777" w:rsidR="00816ABA" w:rsidRPr="00700517" w:rsidRDefault="00816ABA" w:rsidP="00816ABA"/>
        </w:tc>
        <w:tc>
          <w:tcPr>
            <w:tcW w:w="4315" w:type="dxa"/>
            <w:vAlign w:val="center"/>
          </w:tcPr>
          <w:p w14:paraId="69D7A761" w14:textId="77777777" w:rsidR="00816ABA" w:rsidRPr="00700517" w:rsidRDefault="00816ABA" w:rsidP="00816ABA">
            <w:r w:rsidRPr="00700517">
              <w:t>Marburg virus</w:t>
            </w:r>
          </w:p>
        </w:tc>
      </w:tr>
      <w:tr w:rsidR="00816ABA" w:rsidRPr="00700517" w14:paraId="4DB73F49" w14:textId="77777777" w:rsidTr="00816ABA">
        <w:trPr>
          <w:trHeight w:val="576"/>
        </w:trPr>
        <w:tc>
          <w:tcPr>
            <w:tcW w:w="355" w:type="dxa"/>
            <w:vAlign w:val="center"/>
          </w:tcPr>
          <w:p w14:paraId="71EF7D4B" w14:textId="77777777" w:rsidR="00816ABA" w:rsidRPr="00700517" w:rsidRDefault="00816ABA" w:rsidP="00816ABA"/>
        </w:tc>
        <w:tc>
          <w:tcPr>
            <w:tcW w:w="4319" w:type="dxa"/>
            <w:vAlign w:val="center"/>
          </w:tcPr>
          <w:p w14:paraId="0BA68F60" w14:textId="77777777" w:rsidR="00816ABA" w:rsidRPr="00700517" w:rsidRDefault="00816ABA" w:rsidP="00816ABA">
            <w:pPr>
              <w:rPr>
                <w:i/>
              </w:rPr>
            </w:pPr>
            <w:r w:rsidRPr="00700517">
              <w:rPr>
                <w:i/>
              </w:rPr>
              <w:t>Bacillus anthracis</w:t>
            </w:r>
          </w:p>
        </w:tc>
        <w:tc>
          <w:tcPr>
            <w:tcW w:w="361" w:type="dxa"/>
            <w:vAlign w:val="center"/>
          </w:tcPr>
          <w:p w14:paraId="0FD7035C" w14:textId="77777777" w:rsidR="00816ABA" w:rsidRPr="00700517" w:rsidRDefault="00816ABA" w:rsidP="00816ABA"/>
        </w:tc>
        <w:tc>
          <w:tcPr>
            <w:tcW w:w="4315" w:type="dxa"/>
            <w:vAlign w:val="center"/>
          </w:tcPr>
          <w:p w14:paraId="46A89DB7" w14:textId="77777777" w:rsidR="00816ABA" w:rsidRPr="00700517" w:rsidRDefault="00816ABA" w:rsidP="00816ABA">
            <w:r w:rsidRPr="00700517">
              <w:t>Reconstructed 1918 influenza virus</w:t>
            </w:r>
          </w:p>
        </w:tc>
      </w:tr>
      <w:tr w:rsidR="00816ABA" w:rsidRPr="00700517" w14:paraId="2490ADF1" w14:textId="77777777" w:rsidTr="00816ABA">
        <w:trPr>
          <w:trHeight w:val="576"/>
        </w:trPr>
        <w:tc>
          <w:tcPr>
            <w:tcW w:w="355" w:type="dxa"/>
            <w:vAlign w:val="center"/>
          </w:tcPr>
          <w:p w14:paraId="0A03AA24" w14:textId="77777777" w:rsidR="00816ABA" w:rsidRPr="00700517" w:rsidRDefault="00816ABA" w:rsidP="00816ABA"/>
        </w:tc>
        <w:tc>
          <w:tcPr>
            <w:tcW w:w="4319" w:type="dxa"/>
            <w:vAlign w:val="center"/>
          </w:tcPr>
          <w:p w14:paraId="49A2D9A8" w14:textId="77777777" w:rsidR="00816ABA" w:rsidRPr="00700517" w:rsidRDefault="00816ABA" w:rsidP="00454561">
            <w:r w:rsidRPr="00700517">
              <w:t>Botulinum neurotoxin</w:t>
            </w:r>
          </w:p>
        </w:tc>
        <w:tc>
          <w:tcPr>
            <w:tcW w:w="361" w:type="dxa"/>
            <w:vAlign w:val="center"/>
          </w:tcPr>
          <w:p w14:paraId="0784CCD0" w14:textId="77777777" w:rsidR="00816ABA" w:rsidRPr="00700517" w:rsidRDefault="00816ABA" w:rsidP="00816ABA"/>
        </w:tc>
        <w:tc>
          <w:tcPr>
            <w:tcW w:w="4315" w:type="dxa"/>
            <w:vAlign w:val="center"/>
          </w:tcPr>
          <w:p w14:paraId="0CB205AE" w14:textId="77777777" w:rsidR="00816ABA" w:rsidRPr="00700517" w:rsidRDefault="00816ABA" w:rsidP="00816ABA">
            <w:r w:rsidRPr="00700517">
              <w:t>Rinderpest virus</w:t>
            </w:r>
          </w:p>
        </w:tc>
      </w:tr>
      <w:tr w:rsidR="00816ABA" w:rsidRPr="00700517" w14:paraId="12B3C64F" w14:textId="77777777" w:rsidTr="00816ABA">
        <w:trPr>
          <w:trHeight w:val="576"/>
        </w:trPr>
        <w:tc>
          <w:tcPr>
            <w:tcW w:w="355" w:type="dxa"/>
            <w:vAlign w:val="center"/>
          </w:tcPr>
          <w:p w14:paraId="5D6DC633" w14:textId="77777777" w:rsidR="00816ABA" w:rsidRPr="00700517" w:rsidRDefault="00816ABA" w:rsidP="00816ABA"/>
        </w:tc>
        <w:tc>
          <w:tcPr>
            <w:tcW w:w="4319" w:type="dxa"/>
            <w:vAlign w:val="center"/>
          </w:tcPr>
          <w:p w14:paraId="57596F96" w14:textId="77777777" w:rsidR="00816ABA" w:rsidRPr="00700517" w:rsidRDefault="00816ABA" w:rsidP="00816ABA">
            <w:r w:rsidRPr="00700517">
              <w:rPr>
                <w:i/>
              </w:rPr>
              <w:t>Burkholderia mallei</w:t>
            </w:r>
          </w:p>
          <w:p w14:paraId="1D1ABE43" w14:textId="77777777" w:rsidR="00816ABA" w:rsidRPr="00700517" w:rsidRDefault="00816ABA" w:rsidP="00816ABA"/>
        </w:tc>
        <w:tc>
          <w:tcPr>
            <w:tcW w:w="361" w:type="dxa"/>
            <w:vAlign w:val="center"/>
          </w:tcPr>
          <w:p w14:paraId="2601D1FB" w14:textId="77777777" w:rsidR="00816ABA" w:rsidRPr="00700517" w:rsidRDefault="00816ABA" w:rsidP="00816ABA"/>
        </w:tc>
        <w:tc>
          <w:tcPr>
            <w:tcW w:w="4315" w:type="dxa"/>
            <w:vAlign w:val="center"/>
          </w:tcPr>
          <w:p w14:paraId="2EE14228" w14:textId="77777777" w:rsidR="00816ABA" w:rsidRPr="00700517" w:rsidRDefault="00816ABA" w:rsidP="00816ABA">
            <w:pPr>
              <w:rPr>
                <w:i/>
              </w:rPr>
            </w:pPr>
            <w:r w:rsidRPr="00700517">
              <w:t xml:space="preserve">Toxin producing strains of </w:t>
            </w:r>
            <w:r w:rsidRPr="00700517">
              <w:rPr>
                <w:i/>
              </w:rPr>
              <w:t>Clostridium botulinum</w:t>
            </w:r>
          </w:p>
        </w:tc>
      </w:tr>
      <w:tr w:rsidR="00816ABA" w:rsidRPr="00700517" w14:paraId="4F95672B" w14:textId="77777777" w:rsidTr="00816ABA">
        <w:trPr>
          <w:trHeight w:val="576"/>
        </w:trPr>
        <w:tc>
          <w:tcPr>
            <w:tcW w:w="355" w:type="dxa"/>
            <w:vAlign w:val="center"/>
          </w:tcPr>
          <w:p w14:paraId="15CB8D02" w14:textId="77777777" w:rsidR="00816ABA" w:rsidRPr="00700517" w:rsidRDefault="00816ABA" w:rsidP="00816ABA"/>
        </w:tc>
        <w:tc>
          <w:tcPr>
            <w:tcW w:w="4319" w:type="dxa"/>
            <w:vAlign w:val="center"/>
          </w:tcPr>
          <w:p w14:paraId="3CED4411" w14:textId="77777777" w:rsidR="00816ABA" w:rsidRPr="00700517" w:rsidRDefault="00816ABA" w:rsidP="00454561">
            <w:pPr>
              <w:rPr>
                <w:i/>
              </w:rPr>
            </w:pPr>
            <w:r w:rsidRPr="00700517">
              <w:rPr>
                <w:i/>
              </w:rPr>
              <w:t>Burkholderia pseudomallei</w:t>
            </w:r>
          </w:p>
        </w:tc>
        <w:tc>
          <w:tcPr>
            <w:tcW w:w="361" w:type="dxa"/>
            <w:vAlign w:val="center"/>
          </w:tcPr>
          <w:p w14:paraId="75591ECF" w14:textId="77777777" w:rsidR="00816ABA" w:rsidRPr="00700517" w:rsidRDefault="00816ABA" w:rsidP="00816ABA"/>
        </w:tc>
        <w:tc>
          <w:tcPr>
            <w:tcW w:w="4315" w:type="dxa"/>
            <w:vAlign w:val="center"/>
          </w:tcPr>
          <w:p w14:paraId="76FFD4D8" w14:textId="77777777" w:rsidR="00816ABA" w:rsidRPr="00700517" w:rsidRDefault="00816ABA" w:rsidP="00816ABA">
            <w:r w:rsidRPr="00700517">
              <w:t>Variola major virus</w:t>
            </w:r>
          </w:p>
        </w:tc>
      </w:tr>
      <w:tr w:rsidR="00816ABA" w:rsidRPr="00700517" w14:paraId="7AA203DD" w14:textId="77777777" w:rsidTr="00816ABA">
        <w:trPr>
          <w:trHeight w:val="576"/>
        </w:trPr>
        <w:tc>
          <w:tcPr>
            <w:tcW w:w="355" w:type="dxa"/>
            <w:vAlign w:val="center"/>
          </w:tcPr>
          <w:p w14:paraId="31A3AA79" w14:textId="77777777" w:rsidR="00816ABA" w:rsidRPr="00700517" w:rsidRDefault="00816ABA" w:rsidP="00816ABA"/>
        </w:tc>
        <w:tc>
          <w:tcPr>
            <w:tcW w:w="4319" w:type="dxa"/>
            <w:vAlign w:val="center"/>
          </w:tcPr>
          <w:p w14:paraId="6ECFB33B" w14:textId="77777777" w:rsidR="00816ABA" w:rsidRPr="00700517" w:rsidRDefault="00816ABA" w:rsidP="00816ABA">
            <w:r w:rsidRPr="00700517">
              <w:t>Ebola virus</w:t>
            </w:r>
          </w:p>
        </w:tc>
        <w:tc>
          <w:tcPr>
            <w:tcW w:w="361" w:type="dxa"/>
            <w:vAlign w:val="center"/>
          </w:tcPr>
          <w:p w14:paraId="311BBF04" w14:textId="77777777" w:rsidR="00816ABA" w:rsidRPr="00700517" w:rsidRDefault="00816ABA" w:rsidP="00816ABA"/>
        </w:tc>
        <w:tc>
          <w:tcPr>
            <w:tcW w:w="4315" w:type="dxa"/>
            <w:vAlign w:val="center"/>
          </w:tcPr>
          <w:p w14:paraId="107BDB8A" w14:textId="77777777" w:rsidR="00816ABA" w:rsidRPr="00700517" w:rsidRDefault="00816ABA" w:rsidP="00816ABA">
            <w:r w:rsidRPr="00700517">
              <w:t>Variola minor virus</w:t>
            </w:r>
          </w:p>
        </w:tc>
      </w:tr>
      <w:tr w:rsidR="00816ABA" w:rsidRPr="00700517" w14:paraId="29FD8054" w14:textId="77777777" w:rsidTr="00816ABA">
        <w:trPr>
          <w:trHeight w:val="576"/>
        </w:trPr>
        <w:tc>
          <w:tcPr>
            <w:tcW w:w="355" w:type="dxa"/>
            <w:vAlign w:val="center"/>
          </w:tcPr>
          <w:p w14:paraId="347B211C" w14:textId="77777777" w:rsidR="00816ABA" w:rsidRPr="00700517" w:rsidRDefault="00816ABA" w:rsidP="00816ABA"/>
        </w:tc>
        <w:tc>
          <w:tcPr>
            <w:tcW w:w="4319" w:type="dxa"/>
            <w:vAlign w:val="center"/>
          </w:tcPr>
          <w:p w14:paraId="72B1F155" w14:textId="77777777" w:rsidR="00816ABA" w:rsidRPr="00700517" w:rsidRDefault="00816ABA" w:rsidP="00816ABA">
            <w:r w:rsidRPr="00700517">
              <w:t>Foot-and-mouth disease virus</w:t>
            </w:r>
          </w:p>
        </w:tc>
        <w:tc>
          <w:tcPr>
            <w:tcW w:w="361" w:type="dxa"/>
            <w:vAlign w:val="center"/>
          </w:tcPr>
          <w:p w14:paraId="2F8432A1" w14:textId="77777777" w:rsidR="00816ABA" w:rsidRPr="00700517" w:rsidRDefault="00816ABA" w:rsidP="00816ABA"/>
        </w:tc>
        <w:tc>
          <w:tcPr>
            <w:tcW w:w="4315" w:type="dxa"/>
            <w:vAlign w:val="center"/>
          </w:tcPr>
          <w:p w14:paraId="7D9721ED" w14:textId="77777777" w:rsidR="00816ABA" w:rsidRPr="00700517" w:rsidRDefault="00816ABA" w:rsidP="00816ABA">
            <w:r w:rsidRPr="00700517">
              <w:t>Yersinia pestis</w:t>
            </w:r>
          </w:p>
        </w:tc>
      </w:tr>
      <w:tr w:rsidR="001E005E" w:rsidRPr="00700517" w14:paraId="1548AB67" w14:textId="77777777" w:rsidTr="00816ABA">
        <w:trPr>
          <w:gridAfter w:val="2"/>
          <w:wAfter w:w="4676" w:type="dxa"/>
          <w:trHeight w:val="576"/>
        </w:trPr>
        <w:tc>
          <w:tcPr>
            <w:tcW w:w="355" w:type="dxa"/>
            <w:vAlign w:val="center"/>
          </w:tcPr>
          <w:p w14:paraId="7D30DA79" w14:textId="77777777" w:rsidR="001E005E" w:rsidRPr="00700517" w:rsidRDefault="001E005E" w:rsidP="00816ABA"/>
        </w:tc>
        <w:tc>
          <w:tcPr>
            <w:tcW w:w="4319" w:type="dxa"/>
            <w:vAlign w:val="center"/>
          </w:tcPr>
          <w:p w14:paraId="563A4A7E" w14:textId="77777777" w:rsidR="001E005E" w:rsidRPr="00700517" w:rsidRDefault="001E005E" w:rsidP="00816ABA">
            <w:pPr>
              <w:rPr>
                <w:i/>
              </w:rPr>
            </w:pPr>
            <w:r w:rsidRPr="00700517">
              <w:rPr>
                <w:i/>
              </w:rPr>
              <w:t>Francisella tularensis</w:t>
            </w:r>
          </w:p>
        </w:tc>
      </w:tr>
    </w:tbl>
    <w:p w14:paraId="1FE449EA" w14:textId="77777777" w:rsidR="00816ABA" w:rsidRPr="00700517" w:rsidRDefault="00816ABA" w:rsidP="00B11447"/>
    <w:p w14:paraId="13F45207" w14:textId="77777777" w:rsidR="00E62BE0" w:rsidRPr="00700517" w:rsidRDefault="00E62BE0" w:rsidP="00B11447"/>
    <w:p w14:paraId="1EFB9CFA" w14:textId="77777777" w:rsidR="00E62BE0" w:rsidRPr="00700517" w:rsidRDefault="00E62BE0" w:rsidP="00B11447"/>
    <w:p w14:paraId="35C1F2C5" w14:textId="77777777" w:rsidR="00E62BE0" w:rsidRPr="00700517" w:rsidRDefault="00E62BE0" w:rsidP="00B11447"/>
    <w:p w14:paraId="6C8B4223" w14:textId="77777777" w:rsidR="00E62BE0" w:rsidRPr="00700517" w:rsidRDefault="00E62BE0" w:rsidP="00B11447"/>
    <w:p w14:paraId="35751900" w14:textId="77777777" w:rsidR="00E62BE0" w:rsidRPr="00700517" w:rsidRDefault="00E62BE0" w:rsidP="00B11447"/>
    <w:p w14:paraId="684CD835" w14:textId="77777777" w:rsidR="00E62BE0" w:rsidRPr="00700517" w:rsidRDefault="00E62BE0" w:rsidP="00B11447"/>
    <w:p w14:paraId="670F66D5" w14:textId="77777777" w:rsidR="00E62BE0" w:rsidRPr="00700517" w:rsidRDefault="00E62BE0" w:rsidP="00B11447"/>
    <w:p w14:paraId="54E8E3B4" w14:textId="77777777" w:rsidR="00E62BE0" w:rsidRPr="00700517" w:rsidRDefault="00E62BE0" w:rsidP="00B11447"/>
    <w:p w14:paraId="05744091" w14:textId="77777777" w:rsidR="00E62BE0" w:rsidRPr="00700517" w:rsidRDefault="00E62BE0" w:rsidP="00B11447"/>
    <w:p w14:paraId="57DDBBCA" w14:textId="77777777" w:rsidR="00700517" w:rsidRDefault="00700517" w:rsidP="00B11447"/>
    <w:p w14:paraId="707A084D" w14:textId="77777777" w:rsidR="00454561" w:rsidRPr="00700517" w:rsidRDefault="00454561" w:rsidP="00B11447">
      <w:r w:rsidRPr="00700517">
        <w:t>Please identify the project title(s) that include the use of the agents or toxins identified above:</w:t>
      </w:r>
    </w:p>
    <w:p w14:paraId="149D5C99" w14:textId="77777777" w:rsidR="006E3705" w:rsidRPr="00700517" w:rsidRDefault="006E3705" w:rsidP="00B11447"/>
    <w:p w14:paraId="73F61F56" w14:textId="77777777" w:rsidR="00E62BE0" w:rsidRPr="00700517" w:rsidRDefault="00E62BE0" w:rsidP="00B11447"/>
    <w:p w14:paraId="441D2A91" w14:textId="77777777" w:rsidR="006E3705" w:rsidRPr="00700517" w:rsidRDefault="006E3705" w:rsidP="00B11447">
      <w:r w:rsidRPr="00700517">
        <w:t>Please indicate the source(s) of funding for the project</w:t>
      </w:r>
      <w:r w:rsidR="00E62BE0" w:rsidRPr="00700517">
        <w:t>(</w:t>
      </w:r>
      <w:r w:rsidRPr="00700517">
        <w:t>s</w:t>
      </w:r>
      <w:r w:rsidR="00E62BE0" w:rsidRPr="00700517">
        <w:t>)</w:t>
      </w:r>
      <w:r w:rsidRPr="00700517">
        <w:t xml:space="preserve"> identified above:</w:t>
      </w:r>
    </w:p>
    <w:p w14:paraId="2DF6CE20" w14:textId="77777777" w:rsidR="00095166" w:rsidRDefault="00095166" w:rsidP="00B11447"/>
    <w:p w14:paraId="704E661B" w14:textId="77777777" w:rsidR="0098180B" w:rsidRDefault="0098180B" w:rsidP="00B11447"/>
    <w:p w14:paraId="0AB01AC4" w14:textId="77777777" w:rsidR="0098180B" w:rsidRDefault="0098180B" w:rsidP="00B11447"/>
    <w:p w14:paraId="20FF758C" w14:textId="77777777" w:rsidR="0098180B" w:rsidRDefault="0098180B" w:rsidP="00B11447"/>
    <w:p w14:paraId="034D3303" w14:textId="77777777" w:rsidR="0098180B" w:rsidRDefault="0098180B" w:rsidP="00B11447"/>
    <w:p w14:paraId="43AAA194" w14:textId="77777777" w:rsidR="00816ABA" w:rsidRPr="00700517" w:rsidRDefault="0089181E" w:rsidP="00B11447">
      <w:r w:rsidRPr="00700517">
        <w:lastRenderedPageBreak/>
        <w:t>P</w:t>
      </w:r>
      <w:r w:rsidR="00454561" w:rsidRPr="00700517">
        <w:t xml:space="preserve">lease indicate whether your research project(s) produces, aims to produce, or can be reasonable expected to produce any of the following experimental effects.  </w:t>
      </w:r>
    </w:p>
    <w:p w14:paraId="04057A0C" w14:textId="77777777" w:rsidR="002528DF" w:rsidRPr="00700517" w:rsidRDefault="00454561" w:rsidP="002528DF">
      <w:pPr>
        <w:spacing w:before="240" w:after="0"/>
      </w:pPr>
      <w:r w:rsidRPr="00700517">
        <w:tab/>
        <w:t>Enhances the harmful consequences of the agent or toxin.</w:t>
      </w:r>
      <w:r w:rsidR="002528DF" w:rsidRPr="00700517">
        <w:t xml:space="preserve">  </w:t>
      </w:r>
    </w:p>
    <w:p w14:paraId="6127C937" w14:textId="77777777" w:rsidR="00454561" w:rsidRPr="00700517" w:rsidRDefault="00454561" w:rsidP="002528DF">
      <w:pPr>
        <w:spacing w:after="0"/>
        <w:ind w:left="720" w:firstLine="720"/>
        <w:rPr>
          <w:i/>
        </w:rPr>
      </w:pPr>
      <w:r w:rsidRPr="00700517">
        <w:rPr>
          <w:i/>
        </w:rPr>
        <w:t>If checked, please explain:</w:t>
      </w:r>
    </w:p>
    <w:p w14:paraId="4E5F3F49" w14:textId="77777777" w:rsidR="00E62BE0" w:rsidRPr="00700517" w:rsidRDefault="00E62BE0" w:rsidP="002528DF">
      <w:pPr>
        <w:spacing w:after="0"/>
        <w:ind w:left="720" w:firstLine="720"/>
        <w:rPr>
          <w:i/>
        </w:rPr>
      </w:pPr>
    </w:p>
    <w:p w14:paraId="370BBA79" w14:textId="77777777" w:rsidR="00E62BE0" w:rsidRPr="00700517" w:rsidRDefault="00E62BE0" w:rsidP="002528DF">
      <w:pPr>
        <w:spacing w:after="0"/>
        <w:ind w:left="720" w:firstLine="720"/>
        <w:rPr>
          <w:i/>
        </w:rPr>
      </w:pPr>
    </w:p>
    <w:p w14:paraId="57FD7D76" w14:textId="77777777" w:rsidR="00700517" w:rsidRDefault="00454561" w:rsidP="002528DF">
      <w:pPr>
        <w:spacing w:before="240" w:after="0"/>
        <w:ind w:left="720" w:hanging="360"/>
      </w:pPr>
      <w:r w:rsidRPr="00700517">
        <w:tab/>
      </w:r>
    </w:p>
    <w:p w14:paraId="32C2F8FA" w14:textId="77777777" w:rsidR="002528DF" w:rsidRPr="00700517" w:rsidRDefault="00454561" w:rsidP="00700517">
      <w:pPr>
        <w:spacing w:before="240" w:after="0"/>
        <w:ind w:left="720"/>
        <w:rPr>
          <w:i/>
        </w:rPr>
      </w:pPr>
      <w:r w:rsidRPr="00700517">
        <w:t xml:space="preserve">Disrupts immunity or the effectiveness of an immunization against the agent or toxin </w:t>
      </w:r>
      <w:r w:rsidR="002528DF" w:rsidRPr="00700517">
        <w:t>w</w:t>
      </w:r>
      <w:r w:rsidRPr="00700517">
        <w:t>ithout clinical or agricultural justification.</w:t>
      </w:r>
      <w:r w:rsidR="002528DF" w:rsidRPr="00700517">
        <w:rPr>
          <w:i/>
        </w:rPr>
        <w:tab/>
      </w:r>
      <w:r w:rsidR="002528DF" w:rsidRPr="00700517">
        <w:rPr>
          <w:i/>
        </w:rPr>
        <w:tab/>
      </w:r>
    </w:p>
    <w:p w14:paraId="7CD651E1" w14:textId="77777777" w:rsidR="002528DF" w:rsidRPr="00700517" w:rsidRDefault="002528DF" w:rsidP="002528DF">
      <w:pPr>
        <w:spacing w:after="0"/>
        <w:ind w:left="720" w:firstLine="720"/>
        <w:rPr>
          <w:i/>
        </w:rPr>
      </w:pPr>
      <w:r w:rsidRPr="00700517">
        <w:rPr>
          <w:i/>
        </w:rPr>
        <w:t>If checked, please explain:</w:t>
      </w:r>
    </w:p>
    <w:p w14:paraId="45101462" w14:textId="77777777" w:rsidR="002528DF" w:rsidRPr="00700517" w:rsidRDefault="002528DF" w:rsidP="002528DF">
      <w:pPr>
        <w:spacing w:before="240"/>
      </w:pPr>
    </w:p>
    <w:p w14:paraId="14EABFF5" w14:textId="77777777" w:rsidR="002528DF" w:rsidRPr="00700517" w:rsidRDefault="00454561" w:rsidP="002528DF">
      <w:pPr>
        <w:spacing w:before="240" w:after="0"/>
        <w:ind w:left="720" w:hanging="720"/>
      </w:pPr>
      <w:r w:rsidRPr="00700517">
        <w:tab/>
        <w:t xml:space="preserve">Confers to the agent or toxin resistance to clinically or agriculturally </w:t>
      </w:r>
      <w:r w:rsidR="006E3705" w:rsidRPr="00700517">
        <w:t>useful</w:t>
      </w:r>
      <w:r w:rsidRPr="00700517">
        <w:t xml:space="preserve"> prophylactic or therapeutic interventions against that agent or toxin or facilitates its ability to evade detection methodologies.</w:t>
      </w:r>
      <w:r w:rsidR="002528DF" w:rsidRPr="00700517">
        <w:t xml:space="preserve">  </w:t>
      </w:r>
    </w:p>
    <w:p w14:paraId="0CD2D101" w14:textId="77777777" w:rsidR="002528DF" w:rsidRPr="00700517" w:rsidRDefault="002528DF" w:rsidP="002528DF">
      <w:pPr>
        <w:ind w:left="720" w:firstLine="720"/>
        <w:rPr>
          <w:i/>
        </w:rPr>
      </w:pPr>
      <w:r w:rsidRPr="00700517">
        <w:rPr>
          <w:i/>
        </w:rPr>
        <w:t>If checked, please explain:</w:t>
      </w:r>
    </w:p>
    <w:p w14:paraId="0EA8D348" w14:textId="77777777" w:rsidR="002528DF" w:rsidRPr="00700517" w:rsidRDefault="002528DF" w:rsidP="002528DF">
      <w:pPr>
        <w:spacing w:before="240"/>
      </w:pPr>
    </w:p>
    <w:p w14:paraId="7DBE224E" w14:textId="77777777" w:rsidR="00454561" w:rsidRPr="00700517" w:rsidRDefault="00454561" w:rsidP="002528DF">
      <w:pPr>
        <w:spacing w:before="240" w:after="0"/>
        <w:ind w:left="810" w:hanging="90"/>
      </w:pPr>
      <w:r w:rsidRPr="00700517">
        <w:t>Alters properties of the agent or toxin in a manner that would enhance its stability, transmissibility, or ability to be disseminated.</w:t>
      </w:r>
    </w:p>
    <w:p w14:paraId="02371089" w14:textId="77777777" w:rsidR="002528DF" w:rsidRPr="00700517" w:rsidRDefault="002528DF" w:rsidP="002528DF">
      <w:pPr>
        <w:rPr>
          <w:i/>
        </w:rPr>
      </w:pPr>
      <w:r w:rsidRPr="00700517">
        <w:rPr>
          <w:i/>
        </w:rPr>
        <w:tab/>
      </w:r>
      <w:r w:rsidRPr="00700517">
        <w:rPr>
          <w:i/>
        </w:rPr>
        <w:tab/>
        <w:t>If checked, please explain:</w:t>
      </w:r>
    </w:p>
    <w:p w14:paraId="15821789" w14:textId="77777777" w:rsidR="002528DF" w:rsidRPr="00700517" w:rsidRDefault="002528DF" w:rsidP="002528DF">
      <w:pPr>
        <w:spacing w:before="240"/>
      </w:pPr>
    </w:p>
    <w:p w14:paraId="3ACDAC5A" w14:textId="77777777" w:rsidR="00454561" w:rsidRPr="00700517" w:rsidRDefault="00454561" w:rsidP="002528DF">
      <w:pPr>
        <w:spacing w:before="240" w:after="0"/>
        <w:ind w:firstLine="720"/>
      </w:pPr>
      <w:r w:rsidRPr="00700517">
        <w:t>Alters the host range or tropism of the agent or toxin.</w:t>
      </w:r>
    </w:p>
    <w:p w14:paraId="7F59D168" w14:textId="77777777" w:rsidR="002528DF" w:rsidRPr="00700517" w:rsidRDefault="002528DF" w:rsidP="002528DF">
      <w:pPr>
        <w:rPr>
          <w:i/>
        </w:rPr>
      </w:pPr>
      <w:r w:rsidRPr="00700517">
        <w:rPr>
          <w:i/>
        </w:rPr>
        <w:tab/>
      </w:r>
      <w:r w:rsidRPr="00700517">
        <w:rPr>
          <w:i/>
        </w:rPr>
        <w:tab/>
        <w:t>If checked, please explain:</w:t>
      </w:r>
    </w:p>
    <w:p w14:paraId="33C38562" w14:textId="77777777" w:rsidR="002528DF" w:rsidRPr="00700517" w:rsidRDefault="002528DF" w:rsidP="002528DF">
      <w:pPr>
        <w:spacing w:before="240"/>
      </w:pPr>
    </w:p>
    <w:p w14:paraId="6EE0CB27" w14:textId="77777777" w:rsidR="00454561" w:rsidRPr="00700517" w:rsidRDefault="00454561" w:rsidP="002528DF">
      <w:pPr>
        <w:spacing w:before="240" w:after="0"/>
        <w:ind w:firstLine="720"/>
      </w:pPr>
      <w:r w:rsidRPr="00700517">
        <w:t>Enhances the susceptibility of a host population to the agent or toxin.</w:t>
      </w:r>
    </w:p>
    <w:p w14:paraId="40DE8D1B" w14:textId="77777777" w:rsidR="002528DF" w:rsidRPr="00700517" w:rsidRDefault="002528DF" w:rsidP="002528DF">
      <w:pPr>
        <w:rPr>
          <w:i/>
        </w:rPr>
      </w:pPr>
      <w:r w:rsidRPr="00700517">
        <w:rPr>
          <w:i/>
        </w:rPr>
        <w:tab/>
      </w:r>
      <w:r w:rsidRPr="00700517">
        <w:rPr>
          <w:i/>
        </w:rPr>
        <w:tab/>
        <w:t>If checked, please explain:</w:t>
      </w:r>
    </w:p>
    <w:p w14:paraId="34D81B0D" w14:textId="77777777" w:rsidR="002528DF" w:rsidRPr="00700517" w:rsidRDefault="002528DF" w:rsidP="002528DF">
      <w:pPr>
        <w:spacing w:before="240"/>
      </w:pPr>
    </w:p>
    <w:p w14:paraId="61929E2F" w14:textId="77777777" w:rsidR="00454561" w:rsidRPr="00700517" w:rsidRDefault="00454561" w:rsidP="002528DF">
      <w:pPr>
        <w:spacing w:before="240" w:after="0"/>
        <w:ind w:left="720"/>
      </w:pPr>
      <w:r w:rsidRPr="00700517">
        <w:t xml:space="preserve">Generates or reconstitutes an eradicated </w:t>
      </w:r>
      <w:r w:rsidR="00D54F0B" w:rsidRPr="00700517">
        <w:t>or extinct agent or</w:t>
      </w:r>
      <w:r w:rsidR="002528DF" w:rsidRPr="00700517">
        <w:t xml:space="preserve"> toxin listed in the table above.</w:t>
      </w:r>
    </w:p>
    <w:p w14:paraId="50CB5075" w14:textId="77777777" w:rsidR="002528DF" w:rsidRPr="00700517" w:rsidRDefault="002528DF" w:rsidP="002528DF">
      <w:pPr>
        <w:rPr>
          <w:i/>
        </w:rPr>
      </w:pPr>
      <w:r w:rsidRPr="00700517">
        <w:rPr>
          <w:i/>
        </w:rPr>
        <w:tab/>
      </w:r>
      <w:r w:rsidRPr="00700517">
        <w:rPr>
          <w:i/>
        </w:rPr>
        <w:tab/>
        <w:t>If checked, please explain:</w:t>
      </w:r>
    </w:p>
    <w:p w14:paraId="22DA7B1D" w14:textId="77777777" w:rsidR="00D54F0B" w:rsidRDefault="00D54F0B" w:rsidP="002528DF">
      <w:pPr>
        <w:rPr>
          <w:i/>
        </w:rPr>
      </w:pPr>
    </w:p>
    <w:p w14:paraId="32B1BC83" w14:textId="77777777" w:rsidR="0098180B" w:rsidRDefault="0098180B" w:rsidP="002528DF">
      <w:pPr>
        <w:rPr>
          <w:i/>
        </w:rPr>
      </w:pPr>
    </w:p>
    <w:p w14:paraId="6799B12C" w14:textId="77777777" w:rsidR="0098180B" w:rsidRPr="00700517" w:rsidRDefault="0098180B" w:rsidP="002528DF">
      <w:pPr>
        <w:rPr>
          <w:i/>
        </w:rPr>
      </w:pPr>
    </w:p>
    <w:p w14:paraId="0E2EDF0C" w14:textId="5E2A7F6E" w:rsidR="00D54F0B" w:rsidRPr="00700517" w:rsidRDefault="00D54F0B" w:rsidP="00D54F0B">
      <w:pPr>
        <w:spacing w:before="100" w:beforeAutospacing="1" w:after="100" w:afterAutospacing="1" w:line="240" w:lineRule="auto"/>
        <w:rPr>
          <w:rFonts w:eastAsia="Times New Roman" w:cs="Times New Roman"/>
        </w:rPr>
      </w:pPr>
      <w:r w:rsidRPr="00700517">
        <w:rPr>
          <w:rFonts w:eastAsia="Times New Roman" w:cs="Times New Roman"/>
          <w:b/>
          <w:color w:val="333333"/>
        </w:rPr>
        <w:lastRenderedPageBreak/>
        <w:t>PLEASE NOTE:</w:t>
      </w:r>
      <w:r w:rsidRPr="00700517">
        <w:rPr>
          <w:rFonts w:eastAsia="Times New Roman" w:cs="Times New Roman"/>
          <w:color w:val="333333"/>
        </w:rPr>
        <w:t xml:space="preserve"> The federal export control regulations prohibit the unlicensed export of certain commodities. Most CWRU exports do not require government licenses.  However, investigators should not make that determination themselves. </w:t>
      </w:r>
      <w:r w:rsidRPr="00700517">
        <w:rPr>
          <w:rFonts w:eastAsia="Times New Roman" w:cs="Times New Roman"/>
          <w:lang w:val="en"/>
        </w:rPr>
        <w:t xml:space="preserve">Before internationally shipping, or hand-carrying, the materials relating to this project, CWRU personnel should contact either CWRU Environmental Health &amp; Safety or the CWRU Compliance Office so that one of those offices can determine whether an export license is needed prior to making the export. The Compliance Office can be reached by </w:t>
      </w:r>
      <w:r w:rsidRPr="00700517">
        <w:rPr>
          <w:rFonts w:eastAsia="Times New Roman" w:cs="Times New Roman"/>
        </w:rPr>
        <w:t xml:space="preserve">contacting </w:t>
      </w:r>
      <w:r w:rsidR="00E4770A">
        <w:rPr>
          <w:rFonts w:eastAsia="Times New Roman" w:cs="Times New Roman"/>
        </w:rPr>
        <w:t>Lisa Palazzo, University Chief Compliance,</w:t>
      </w:r>
      <w:r w:rsidRPr="00700517">
        <w:rPr>
          <w:rFonts w:eastAsia="Times New Roman" w:cs="Times New Roman"/>
        </w:rPr>
        <w:t xml:space="preserve"> Expor</w:t>
      </w:r>
      <w:r w:rsidR="00E4770A">
        <w:rPr>
          <w:rFonts w:eastAsia="Times New Roman" w:cs="Times New Roman"/>
        </w:rPr>
        <w:t>t Control and Privacy Officer</w:t>
      </w:r>
      <w:r w:rsidRPr="00700517">
        <w:rPr>
          <w:rFonts w:eastAsia="Times New Roman" w:cs="Times New Roman"/>
        </w:rPr>
        <w:t xml:space="preserve">, at 368-5791, or email </w:t>
      </w:r>
      <w:hyperlink r:id="rId8" w:tgtFrame="_blank" w:history="1">
        <w:r w:rsidRPr="00700517">
          <w:rPr>
            <w:rFonts w:eastAsia="Times New Roman" w:cs="Times New Roman"/>
            <w:color w:val="0000FF"/>
            <w:u w:val="single"/>
          </w:rPr>
          <w:t>exportcontrol@case.edu</w:t>
        </w:r>
      </w:hyperlink>
      <w:r w:rsidRPr="00700517">
        <w:rPr>
          <w:rFonts w:eastAsia="Times New Roman" w:cs="Times New Roman"/>
        </w:rPr>
        <w:t xml:space="preserve"> .</w:t>
      </w:r>
      <w:r w:rsidRPr="00700517">
        <w:rPr>
          <w:rFonts w:eastAsia="Times New Roman" w:cs="Times New Roman"/>
          <w:color w:val="333333"/>
        </w:rPr>
        <w:t xml:space="preserve"> For more information, see </w:t>
      </w:r>
      <w:hyperlink r:id="rId9" w:history="1">
        <w:r w:rsidR="00841C20" w:rsidRPr="00841C20">
          <w:rPr>
            <w:rStyle w:val="Hyperlink"/>
            <w:rFonts w:eastAsia="Times New Roman" w:cs="Times New Roman"/>
          </w:rPr>
          <w:t>https://case.edu/compliance/about/export-control</w:t>
        </w:r>
      </w:hyperlink>
      <w:r w:rsidRPr="00700517">
        <w:rPr>
          <w:rFonts w:eastAsia="Times New Roman" w:cs="Times New Roman"/>
          <w:color w:val="333333"/>
        </w:rPr>
        <w:t>.</w:t>
      </w:r>
    </w:p>
    <w:p w14:paraId="372F7EB7" w14:textId="77777777" w:rsidR="00D54F0B" w:rsidRPr="00D54F0B" w:rsidRDefault="00D54F0B" w:rsidP="002528DF"/>
    <w:sectPr w:rsidR="00D54F0B" w:rsidRPr="00D54F0B" w:rsidSect="00E62BE0">
      <w:headerReference w:type="default"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DD45" w14:textId="77777777" w:rsidR="007830A4" w:rsidRDefault="007830A4" w:rsidP="007830A4">
      <w:pPr>
        <w:spacing w:after="0" w:line="240" w:lineRule="auto"/>
      </w:pPr>
      <w:r>
        <w:separator/>
      </w:r>
    </w:p>
  </w:endnote>
  <w:endnote w:type="continuationSeparator" w:id="0">
    <w:p w14:paraId="1AD7CC31" w14:textId="77777777" w:rsidR="007830A4" w:rsidRDefault="007830A4" w:rsidP="0078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54C8" w14:textId="77777777" w:rsidR="00ED7601" w:rsidRDefault="00ED7601" w:rsidP="00ED7601">
    <w:pPr>
      <w:pStyle w:val="Footer"/>
    </w:pPr>
    <w:r>
      <w:t>CWRU IRE DURC Form</w:t>
    </w:r>
  </w:p>
  <w:p w14:paraId="6B05287D" w14:textId="0BB5A778" w:rsidR="00ED7601" w:rsidRDefault="00ED7601" w:rsidP="00ED7601">
    <w:pPr>
      <w:pStyle w:val="Footer"/>
    </w:pPr>
    <w:r w:rsidRPr="007830A4">
      <w:t xml:space="preserve">Version </w:t>
    </w:r>
    <w:r w:rsidR="001C7952">
      <w:t xml:space="preserve">Dated </w:t>
    </w:r>
    <w:r w:rsidR="00841C20">
      <w:t xml:space="preserve">April 13, </w:t>
    </w:r>
    <w:proofErr w:type="gramStart"/>
    <w:r w:rsidR="00841C20">
      <w:t>2023</w:t>
    </w:r>
    <w:proofErr w:type="gramEnd"/>
    <w:r w:rsidRPr="007830A4">
      <w:tab/>
    </w:r>
    <w:r w:rsidRPr="007830A4">
      <w:tab/>
      <w:t xml:space="preserve">Page </w:t>
    </w:r>
    <w:r w:rsidRPr="007830A4">
      <w:fldChar w:fldCharType="begin"/>
    </w:r>
    <w:r w:rsidRPr="007830A4">
      <w:instrText xml:space="preserve"> PAGE </w:instrText>
    </w:r>
    <w:r w:rsidRPr="007830A4">
      <w:fldChar w:fldCharType="separate"/>
    </w:r>
    <w:r w:rsidR="00CE0274">
      <w:rPr>
        <w:noProof/>
      </w:rPr>
      <w:t>3</w:t>
    </w:r>
    <w:r w:rsidRPr="007830A4">
      <w:fldChar w:fldCharType="end"/>
    </w:r>
    <w:r w:rsidRPr="007830A4">
      <w:t xml:space="preserve"> of </w:t>
    </w:r>
    <w:fldSimple w:instr=" NUMPAGES ">
      <w:r w:rsidR="00CE0274">
        <w:rPr>
          <w:noProof/>
        </w:rPr>
        <w:t>3</w:t>
      </w:r>
    </w:fldSimple>
  </w:p>
  <w:p w14:paraId="3FEF2737" w14:textId="77777777" w:rsidR="00D452BF" w:rsidRDefault="00D45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D419" w14:textId="77777777" w:rsidR="00D452BF" w:rsidRDefault="00D452BF" w:rsidP="00E62BE0">
    <w:pPr>
      <w:pStyle w:val="Footer"/>
    </w:pPr>
  </w:p>
  <w:p w14:paraId="65D8ABAE" w14:textId="77777777" w:rsidR="00D452BF" w:rsidRDefault="00D452BF" w:rsidP="00E62BE0">
    <w:pPr>
      <w:pStyle w:val="Footer"/>
    </w:pPr>
    <w:r>
      <w:t>CWRU IRE DURC Form</w:t>
    </w:r>
  </w:p>
  <w:p w14:paraId="443F21EE" w14:textId="7F374415" w:rsidR="00E62BE0" w:rsidRDefault="00E4770A" w:rsidP="00E62BE0">
    <w:pPr>
      <w:pStyle w:val="Footer"/>
    </w:pPr>
    <w:r>
      <w:t xml:space="preserve">Version Dated </w:t>
    </w:r>
    <w:r w:rsidR="00841C20">
      <w:t xml:space="preserve">April 13, </w:t>
    </w:r>
    <w:proofErr w:type="gramStart"/>
    <w:r w:rsidR="00841C20">
      <w:t>2023</w:t>
    </w:r>
    <w:proofErr w:type="gramEnd"/>
    <w:r w:rsidR="00E62BE0" w:rsidRPr="007830A4">
      <w:t xml:space="preserve"> </w:t>
    </w:r>
    <w:r w:rsidR="00E62BE0" w:rsidRPr="007830A4">
      <w:tab/>
    </w:r>
    <w:r w:rsidR="00E62BE0" w:rsidRPr="007830A4">
      <w:tab/>
      <w:t xml:space="preserve">Page </w:t>
    </w:r>
    <w:r w:rsidR="00E62BE0" w:rsidRPr="007830A4">
      <w:fldChar w:fldCharType="begin"/>
    </w:r>
    <w:r w:rsidR="00E62BE0" w:rsidRPr="007830A4">
      <w:instrText xml:space="preserve"> PAGE </w:instrText>
    </w:r>
    <w:r w:rsidR="00E62BE0" w:rsidRPr="007830A4">
      <w:fldChar w:fldCharType="separate"/>
    </w:r>
    <w:r w:rsidR="00CE0274">
      <w:rPr>
        <w:noProof/>
      </w:rPr>
      <w:t>1</w:t>
    </w:r>
    <w:r w:rsidR="00E62BE0" w:rsidRPr="007830A4">
      <w:fldChar w:fldCharType="end"/>
    </w:r>
    <w:r w:rsidR="00E62BE0" w:rsidRPr="007830A4">
      <w:t xml:space="preserve"> of </w:t>
    </w:r>
    <w:fldSimple w:instr=" NUMPAGES ">
      <w:r w:rsidR="00CE0274">
        <w:rPr>
          <w:noProof/>
        </w:rPr>
        <w:t>3</w:t>
      </w:r>
    </w:fldSimple>
  </w:p>
  <w:p w14:paraId="45057AA2" w14:textId="77777777" w:rsidR="00E62BE0" w:rsidRDefault="00E6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0487" w14:textId="77777777" w:rsidR="007830A4" w:rsidRDefault="007830A4" w:rsidP="007830A4">
      <w:pPr>
        <w:spacing w:after="0" w:line="240" w:lineRule="auto"/>
      </w:pPr>
      <w:r>
        <w:separator/>
      </w:r>
    </w:p>
  </w:footnote>
  <w:footnote w:type="continuationSeparator" w:id="0">
    <w:p w14:paraId="314EBEA1" w14:textId="77777777" w:rsidR="007830A4" w:rsidRDefault="007830A4" w:rsidP="0078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05D4" w14:textId="77777777" w:rsidR="00E62BE0" w:rsidRDefault="00E62BE0" w:rsidP="00E62BE0">
    <w:pPr>
      <w:pStyle w:val="Header"/>
      <w:ind w:firstLine="432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C794" w14:textId="77777777" w:rsidR="00E62BE0" w:rsidRPr="00E62BE0" w:rsidRDefault="00E62BE0" w:rsidP="00CE0274">
    <w:pPr>
      <w:pStyle w:val="Header"/>
      <w:rPr>
        <w:sz w:val="24"/>
        <w:szCs w:val="24"/>
      </w:rPr>
    </w:pPr>
    <w:r w:rsidRPr="00E62BE0">
      <w:rPr>
        <w:noProof/>
        <w:sz w:val="24"/>
        <w:szCs w:val="24"/>
      </w:rPr>
      <w:drawing>
        <wp:anchor distT="0" distB="0" distL="114300" distR="114300" simplePos="0" relativeHeight="251659264" behindDoc="0" locked="0" layoutInCell="1" allowOverlap="1" wp14:anchorId="053C0810" wp14:editId="6B0DF9B8">
          <wp:simplePos x="0" y="0"/>
          <wp:positionH relativeFrom="margin">
            <wp:posOffset>-225425</wp:posOffset>
          </wp:positionH>
          <wp:positionV relativeFrom="margin">
            <wp:posOffset>-587375</wp:posOffset>
          </wp:positionV>
          <wp:extent cx="2238375" cy="476250"/>
          <wp:effectExtent l="0" t="0" r="9525" b="0"/>
          <wp:wrapSquare wrapText="bothSides"/>
          <wp:docPr id="2" name="Picture 2" descr="CW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RU Logo"/>
                  <pic:cNvPicPr>
                    <a:picLocks noChangeAspect="1" noChangeArrowheads="1"/>
                  </pic:cNvPicPr>
                </pic:nvPicPr>
                <pic:blipFill>
                  <a:blip r:embed="rId1" cstate="print"/>
                  <a:srcRect/>
                  <a:stretch>
                    <a:fillRect/>
                  </a:stretch>
                </pic:blipFill>
                <pic:spPr bwMode="auto">
                  <a:xfrm>
                    <a:off x="0" y="0"/>
                    <a:ext cx="2238375" cy="476250"/>
                  </a:xfrm>
                  <a:prstGeom prst="rect">
                    <a:avLst/>
                  </a:prstGeom>
                  <a:noFill/>
                  <a:ln w="9525">
                    <a:noFill/>
                    <a:miter lim="800000"/>
                    <a:headEnd/>
                    <a:tailEnd/>
                  </a:ln>
                </pic:spPr>
              </pic:pic>
            </a:graphicData>
          </a:graphic>
        </wp:anchor>
      </w:drawing>
    </w:r>
    <w:r w:rsidRPr="00E62BE0">
      <w:rPr>
        <w:sz w:val="24"/>
        <w:szCs w:val="24"/>
      </w:rPr>
      <w:t xml:space="preserve">Department of Environmental Health &amp; Safety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17909"/>
    <w:multiLevelType w:val="hybridMultilevel"/>
    <w:tmpl w:val="A1F02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33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47"/>
    <w:rsid w:val="00095166"/>
    <w:rsid w:val="001C7952"/>
    <w:rsid w:val="001E005E"/>
    <w:rsid w:val="001F750B"/>
    <w:rsid w:val="0024287F"/>
    <w:rsid w:val="002528DF"/>
    <w:rsid w:val="00454561"/>
    <w:rsid w:val="005F3967"/>
    <w:rsid w:val="00670F77"/>
    <w:rsid w:val="006C1F17"/>
    <w:rsid w:val="006C693E"/>
    <w:rsid w:val="006E3705"/>
    <w:rsid w:val="00700517"/>
    <w:rsid w:val="007830A4"/>
    <w:rsid w:val="00816ABA"/>
    <w:rsid w:val="00823257"/>
    <w:rsid w:val="00841C20"/>
    <w:rsid w:val="00873801"/>
    <w:rsid w:val="0089181E"/>
    <w:rsid w:val="0098180B"/>
    <w:rsid w:val="00985391"/>
    <w:rsid w:val="00AD5A08"/>
    <w:rsid w:val="00B11447"/>
    <w:rsid w:val="00CE0274"/>
    <w:rsid w:val="00D452BF"/>
    <w:rsid w:val="00D54F0B"/>
    <w:rsid w:val="00DA7354"/>
    <w:rsid w:val="00E4770A"/>
    <w:rsid w:val="00E62BE0"/>
    <w:rsid w:val="00ED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56B18"/>
  <w15:docId w15:val="{4DFB4360-4454-4781-B46B-A1C55019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47"/>
    <w:pPr>
      <w:ind w:left="720"/>
      <w:contextualSpacing/>
    </w:pPr>
  </w:style>
  <w:style w:type="table" w:styleId="TableGrid">
    <w:name w:val="Table Grid"/>
    <w:basedOn w:val="TableNormal"/>
    <w:uiPriority w:val="39"/>
    <w:rsid w:val="0081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4F0B"/>
    <w:rPr>
      <w:color w:val="0000FF"/>
      <w:u w:val="single"/>
    </w:rPr>
  </w:style>
  <w:style w:type="character" w:customStyle="1" w:styleId="il">
    <w:name w:val="il"/>
    <w:basedOn w:val="DefaultParagraphFont"/>
    <w:rsid w:val="00D54F0B"/>
  </w:style>
  <w:style w:type="paragraph" w:styleId="BalloonText">
    <w:name w:val="Balloon Text"/>
    <w:basedOn w:val="Normal"/>
    <w:link w:val="BalloonTextChar"/>
    <w:uiPriority w:val="99"/>
    <w:semiHidden/>
    <w:unhideWhenUsed/>
    <w:rsid w:val="006E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05"/>
    <w:rPr>
      <w:rFonts w:ascii="Tahoma" w:hAnsi="Tahoma" w:cs="Tahoma"/>
      <w:sz w:val="16"/>
      <w:szCs w:val="16"/>
    </w:rPr>
  </w:style>
  <w:style w:type="character" w:styleId="CommentReference">
    <w:name w:val="annotation reference"/>
    <w:basedOn w:val="DefaultParagraphFont"/>
    <w:uiPriority w:val="99"/>
    <w:semiHidden/>
    <w:unhideWhenUsed/>
    <w:rsid w:val="005F3967"/>
    <w:rPr>
      <w:sz w:val="16"/>
      <w:szCs w:val="16"/>
    </w:rPr>
  </w:style>
  <w:style w:type="paragraph" w:styleId="CommentText">
    <w:name w:val="annotation text"/>
    <w:basedOn w:val="Normal"/>
    <w:link w:val="CommentTextChar"/>
    <w:uiPriority w:val="99"/>
    <w:semiHidden/>
    <w:unhideWhenUsed/>
    <w:rsid w:val="005F3967"/>
    <w:pPr>
      <w:spacing w:line="240" w:lineRule="auto"/>
    </w:pPr>
    <w:rPr>
      <w:sz w:val="20"/>
      <w:szCs w:val="20"/>
    </w:rPr>
  </w:style>
  <w:style w:type="character" w:customStyle="1" w:styleId="CommentTextChar">
    <w:name w:val="Comment Text Char"/>
    <w:basedOn w:val="DefaultParagraphFont"/>
    <w:link w:val="CommentText"/>
    <w:uiPriority w:val="99"/>
    <w:semiHidden/>
    <w:rsid w:val="005F3967"/>
    <w:rPr>
      <w:sz w:val="20"/>
      <w:szCs w:val="20"/>
    </w:rPr>
  </w:style>
  <w:style w:type="paragraph" w:styleId="CommentSubject">
    <w:name w:val="annotation subject"/>
    <w:basedOn w:val="CommentText"/>
    <w:next w:val="CommentText"/>
    <w:link w:val="CommentSubjectChar"/>
    <w:uiPriority w:val="99"/>
    <w:semiHidden/>
    <w:unhideWhenUsed/>
    <w:rsid w:val="005F3967"/>
    <w:rPr>
      <w:b/>
      <w:bCs/>
    </w:rPr>
  </w:style>
  <w:style w:type="character" w:customStyle="1" w:styleId="CommentSubjectChar">
    <w:name w:val="Comment Subject Char"/>
    <w:basedOn w:val="CommentTextChar"/>
    <w:link w:val="CommentSubject"/>
    <w:uiPriority w:val="99"/>
    <w:semiHidden/>
    <w:rsid w:val="005F3967"/>
    <w:rPr>
      <w:b/>
      <w:bCs/>
      <w:sz w:val="20"/>
      <w:szCs w:val="20"/>
    </w:rPr>
  </w:style>
  <w:style w:type="paragraph" w:styleId="Header">
    <w:name w:val="header"/>
    <w:basedOn w:val="Normal"/>
    <w:link w:val="HeaderChar"/>
    <w:uiPriority w:val="99"/>
    <w:unhideWhenUsed/>
    <w:rsid w:val="0078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0A4"/>
  </w:style>
  <w:style w:type="paragraph" w:styleId="Footer">
    <w:name w:val="footer"/>
    <w:basedOn w:val="Normal"/>
    <w:link w:val="FooterChar"/>
    <w:uiPriority w:val="99"/>
    <w:unhideWhenUsed/>
    <w:rsid w:val="0078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0A4"/>
  </w:style>
  <w:style w:type="character" w:styleId="UnresolvedMention">
    <w:name w:val="Unresolved Mention"/>
    <w:basedOn w:val="DefaultParagraphFont"/>
    <w:uiPriority w:val="99"/>
    <w:semiHidden/>
    <w:unhideWhenUsed/>
    <w:rsid w:val="00841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cas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rew.young@cas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se.edu/compliance/about/export-contro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J Karlo</cp:lastModifiedBy>
  <cp:revision>3</cp:revision>
  <dcterms:created xsi:type="dcterms:W3CDTF">2023-04-13T14:33:00Z</dcterms:created>
  <dcterms:modified xsi:type="dcterms:W3CDTF">2023-04-13T14:43:00Z</dcterms:modified>
</cp:coreProperties>
</file>